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Personal style guide</w:t>
      </w:r>
    </w:p>
    <w:p>
      <w:pPr>
        <w:pStyle w:val="Subtitle"/>
      </w:pPr>
      <w:r>
        <w:t>Visual reference  /  Version 1  /  September 2026</w:t>
      </w:r>
    </w:p>
    <w:p>
      <w:r>
        <w:t>Use this style to make documents and digital spaces feel clear, calm, and consistent. Strong typography and generous space give the content priority. Finished documents carry no personal name or logo.</w:t>
      </w:r>
    </w:p>
    <w:p>
      <w:pPr>
        <w:pStyle w:val="Heading1"/>
      </w:pPr>
      <w:r>
        <w:t>The visual language</w:t>
      </w:r>
    </w:p>
    <w:p>
      <w:r>
        <w:t>Use white pages, near-black text, soft gray surfaces, and a restrained blue accent. Choose sentence case and left alignment. Keep decoration minimal, and let headings and spacing create the hierarchy.</w:t>
      </w:r>
    </w:p>
    <w:tbl>
      <w:tblPr>
        <w:tblW w:type="auto" w:w="0"/>
        <w:jc w:val="center"/>
        <w:tblLayout w:type="fixed"/>
        <w:tblLook w:firstColumn="1" w:firstRow="1" w:lastColumn="0" w:lastRow="0" w:noHBand="0" w:noVBand="1" w:val="04A0"/>
      </w:tblPr>
      <w:tblGrid>
        <w:gridCol w:w="1728"/>
        <w:gridCol w:w="1872"/>
        <w:gridCol w:w="6192"/>
      </w:tblGrid>
      <w:tr>
        <w:trPr>
          <w:cantSplit/>
          <w:tblHeader/>
        </w:trPr>
        <w:tc>
          <w:tcPr>
            <w:tcW w:type="dxa" w:w="1728"/>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shd w:fill="F5F5F7"/>
          </w:tcPr>
          <w:p>
            <w:pPr>
              <w:spacing w:after="0" w:line="288" w:lineRule="auto"/>
            </w:pPr>
            <w:r>
              <w:rPr>
                <w:b/>
                <w:sz w:val="20"/>
              </w:rPr>
              <w:t>Color</w:t>
            </w:r>
          </w:p>
        </w:tc>
        <w:tc>
          <w:tcPr>
            <w:tcW w:type="dxa" w:w="187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shd w:fill="F5F5F7"/>
          </w:tcPr>
          <w:p>
            <w:pPr>
              <w:spacing w:after="0" w:line="288" w:lineRule="auto"/>
            </w:pPr>
            <w:r>
              <w:rPr>
                <w:b/>
                <w:sz w:val="20"/>
              </w:rPr>
              <w:t>Value</w:t>
            </w:r>
          </w:p>
        </w:tc>
        <w:tc>
          <w:tcPr>
            <w:tcW w:type="dxa" w:w="619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shd w:fill="F5F5F7"/>
          </w:tcPr>
          <w:p>
            <w:pPr>
              <w:spacing w:after="0" w:line="288" w:lineRule="auto"/>
            </w:pPr>
            <w:r>
              <w:rPr>
                <w:b/>
                <w:sz w:val="20"/>
              </w:rPr>
              <w:t>Purpose</w:t>
            </w:r>
          </w:p>
        </w:tc>
      </w:tr>
      <w:tr>
        <w:trPr>
          <w:cantSplit/>
        </w:trPr>
        <w:tc>
          <w:tcPr>
            <w:tcW w:type="dxa" w:w="1728"/>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Ink</w:t>
            </w:r>
          </w:p>
        </w:tc>
        <w:tc>
          <w:tcPr>
            <w:tcW w:type="dxa" w:w="187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#1D1D1F</w:t>
            </w:r>
          </w:p>
        </w:tc>
        <w:tc>
          <w:tcPr>
            <w:tcW w:type="dxa" w:w="619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Headings and body text</w:t>
            </w:r>
          </w:p>
        </w:tc>
      </w:tr>
      <w:tr>
        <w:trPr>
          <w:cantSplit/>
        </w:trPr>
        <w:tc>
          <w:tcPr>
            <w:tcW w:type="dxa" w:w="1728"/>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Paper</w:t>
            </w:r>
          </w:p>
        </w:tc>
        <w:tc>
          <w:tcPr>
            <w:tcW w:type="dxa" w:w="187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#FFFFFF</w:t>
            </w:r>
          </w:p>
        </w:tc>
        <w:tc>
          <w:tcPr>
            <w:tcW w:type="dxa" w:w="619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Document pages</w:t>
            </w:r>
          </w:p>
        </w:tc>
      </w:tr>
      <w:tr>
        <w:trPr>
          <w:cantSplit/>
        </w:trPr>
        <w:tc>
          <w:tcPr>
            <w:tcW w:type="dxa" w:w="1728"/>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Mist</w:t>
            </w:r>
          </w:p>
        </w:tc>
        <w:tc>
          <w:tcPr>
            <w:tcW w:type="dxa" w:w="187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#F5F5F7</w:t>
            </w:r>
          </w:p>
        </w:tc>
        <w:tc>
          <w:tcPr>
            <w:tcW w:type="dxa" w:w="619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Light table headers</w:t>
            </w:r>
          </w:p>
        </w:tc>
      </w:tr>
      <w:tr>
        <w:trPr>
          <w:cantSplit/>
        </w:trPr>
        <w:tc>
          <w:tcPr>
            <w:tcW w:type="dxa" w:w="1728"/>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Graphite</w:t>
            </w:r>
          </w:p>
        </w:tc>
        <w:tc>
          <w:tcPr>
            <w:tcW w:type="dxa" w:w="187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#616166</w:t>
            </w:r>
          </w:p>
        </w:tc>
        <w:tc>
          <w:tcPr>
            <w:tcW w:type="dxa" w:w="619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Supporting text</w:t>
            </w:r>
          </w:p>
        </w:tc>
      </w:tr>
      <w:tr>
        <w:trPr>
          <w:cantSplit/>
        </w:trPr>
        <w:tc>
          <w:tcPr>
            <w:tcW w:type="dxa" w:w="1728"/>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Blue</w:t>
            </w:r>
          </w:p>
        </w:tc>
        <w:tc>
          <w:tcPr>
            <w:tcW w:type="dxa" w:w="187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#0066CC</w:t>
            </w:r>
          </w:p>
        </w:tc>
        <w:tc>
          <w:tcPr>
            <w:tcW w:type="dxa" w:w="6192"/>
            <w:vAlign w:val="center"/>
            <w:tcBorders>
              <w:top w:val="single" w:sz="4" w:color="DCDCE0"/>
              <w:left w:val="single" w:sz="4" w:color="DCDCE0"/>
              <w:bottom w:val="single" w:sz="4" w:color="DCDCE0"/>
              <w:right w:val="single" w:sz="4" w:color="DCDCE0"/>
            </w:tcBorders>
            <w:tcMar>
              <w:top w:w="110" w:type="dxa"/>
              <w:left w:w="110" w:type="dxa"/>
              <w:bottom w:w="110" w:type="dxa"/>
              <w:right w:w="110" w:type="dxa"/>
            </w:tcMar>
          </w:tcPr>
          <w:p>
            <w:pPr>
              <w:spacing w:after="0" w:line="288" w:lineRule="auto"/>
            </w:pPr>
            <w:r>
              <w:rPr>
                <w:b w:val="0"/>
                <w:sz w:val="20"/>
              </w:rPr>
              <w:t>Links and key emphasis</w:t>
            </w:r>
          </w:p>
        </w:tc>
      </w:tr>
    </w:tbl>
    <w:p>
      <w:pPr>
        <w:pStyle w:val="Heading1"/>
      </w:pPr>
      <w:r>
        <w:t>Type and spacing</w:t>
      </w:r>
    </w:p>
    <w:p>
      <w:r>
        <w:t>Use Arial for portable documents and the native system sans-serif on the web. Set document titles at 28–32 pt, section headings at 16–18 pt, body text at 11 pt, and metadata at 9 pt.</w:t>
      </w:r>
    </w:p>
    <w:p>
      <w:r>
        <w:t>Give Letter pages about 0.8 inches of margin. Use 1.35–1.5 line spacing, 6–8 pt after paragraphs, and 18–24 pt before major headings. Keep headings with the content they introduce.</w:t>
      </w:r>
    </w:p>
    <w:p>
      <w:pPr>
        <w:pStyle w:val="Heading1"/>
      </w:pPr>
      <w:r>
        <w:t>Keep the content useful</w:t>
      </w:r>
    </w:p>
    <w:p>
      <w:r>
        <w:t>Begin with the point the reader needs to understand or act on. Use short, concrete headings and connected paragraphs. Retain necessary detail, caveats, and citations. Never shrink the text just to fit a page.</w:t>
      </w:r>
    </w:p>
    <w:p>
      <w:r>
        <w:br w:type="page"/>
      </w:r>
    </w:p>
    <w:p>
      <w:pPr>
        <w:pStyle w:val="Title"/>
      </w:pPr>
      <w:r>
        <w:t>Using the style</w:t>
      </w:r>
    </w:p>
    <w:p>
      <w:pPr>
        <w:pStyle w:val="Subtitle"/>
      </w:pPr>
      <w:r>
        <w:t>Practical guidance across formats</w:t>
      </w:r>
    </w:p>
    <w:p>
      <w:pPr>
        <w:pStyle w:val="Heading1"/>
      </w:pPr>
      <w:r>
        <w:t>Documents and study packs</w:t>
      </w:r>
    </w:p>
    <w:p>
      <w:r>
        <w:t>Start with a descriptive title and a short introduction. Use white pages, readable text, and lightly structured tables. Add page numbers for longer documents. Keep source references close to the claims they support.</w:t>
      </w:r>
    </w:p>
    <w:p>
      <w:pPr>
        <w:pStyle w:val="Heading1"/>
      </w:pPr>
      <w:r>
        <w:t>Presentations</w:t>
      </w:r>
    </w:p>
    <w:p>
      <w:r>
        <w:t>Use a 16:9 layout with one main idea per slide. Set titles at 36–44 pt and body text at 20–24 pt. Use large margins, editable text, and direct chart labels. Additional colors should explain the data.</w:t>
      </w:r>
    </w:p>
    <w:p>
      <w:pPr>
        <w:pStyle w:val="Heading1"/>
      </w:pPr>
      <w:r>
        <w:t>Spreadsheets</w:t>
      </w:r>
    </w:p>
    <w:p>
      <w:r>
        <w:t>Use 11 pt Arial, subtle gray headers, frozen header rows, and consistent dates and number formats. Right-align numbers and use blue sparingly for important outputs. Pair status colors with clear labels.</w:t>
      </w:r>
    </w:p>
    <w:p>
      <w:pPr>
        <w:pStyle w:val="Heading1"/>
      </w:pPr>
      <w:r>
        <w:t>Web pages</w:t>
      </w:r>
    </w:p>
    <w:p>
      <w:r>
        <w:t>Use a native sans-serif, a maximum content width of 1120 px, and 22 px mobile gutters. Keep reading text around 60–75 characters wide. Use simple line icons, soft card corners, and subtle or no shadows. Provide light and dark themes.</w:t>
      </w:r>
    </w:p>
    <w:p>
      <w:pPr>
        <w:pStyle w:val="Heading1"/>
      </w:pPr>
      <w:r>
        <w:t>Final review</w:t>
      </w:r>
    </w:p>
    <w:p>
      <w:r>
        <w:t>Read and inspect the actual output. Check every exported page or slide for clipping, missing fonts, awkward breaks, and unreadable text. Check mobile layouts, keyboard focus, links, and print readability on websites.</w:t>
      </w:r>
    </w:p>
    <w:sectPr w:rsidR="00FC693F" w:rsidRPr="0006063C" w:rsidSect="00034616">
      <w:footerReference w:type="default" r:id="rId9"/>
      <w:pgSz w:w="12240" w:h="15840"/>
      <w:pgMar w:top="1152" w:right="1224" w:bottom="1152" w:left="1224"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E6E73"/>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36" w:lineRule="auto"/>
    </w:pPr>
    <w:rPr>
      <w:rFonts w:ascii="Arial" w:hAnsi="Arial"/>
      <w:color w:val="1D1D1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200"/>
      <w:outlineLvl w:val="0"/>
    </w:pPr>
    <w:rPr>
      <w:rFonts w:asciiTheme="majorHAnsi" w:eastAsiaTheme="majorEastAsia" w:hAnsiTheme="majorHAnsi" w:cstheme="majorBidi" w:ascii="Arial" w:hAnsi="Arial"/>
      <w:b/>
      <w:bCs/>
      <w:color w:val="1D1D1F"/>
      <w:sz w:val="34"/>
      <w:szCs w:val="28"/>
    </w:rPr>
  </w:style>
  <w:style w:type="paragraph" w:styleId="Heading2">
    <w:name w:val="heading 2"/>
    <w:basedOn w:val="Normal"/>
    <w:next w:val="Normal"/>
    <w:link w:val="Heading2Char"/>
    <w:uiPriority w:val="9"/>
    <w:unhideWhenUsed/>
    <w:qFormat/>
    <w:rsid w:val="00FC693F"/>
    <w:pPr>
      <w:keepNext/>
      <w:keepLines/>
      <w:spacing w:before="400" w:after="200"/>
      <w:outlineLvl w:val="1"/>
    </w:pPr>
    <w:rPr>
      <w:rFonts w:asciiTheme="majorHAnsi" w:eastAsiaTheme="majorEastAsia" w:hAnsiTheme="majorHAnsi" w:cstheme="majorBidi" w:ascii="Arial" w:hAnsi="Arial"/>
      <w:b/>
      <w:bCs/>
      <w:color w:val="1D1D1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Arial" w:hAnsi="Arial"/>
      <w:b/>
      <w:color w:val="1D1D1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val="0"/>
      <w:iCs/>
      <w:color w:val="61616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style guide</dc:title>
  <dc:subject>Minimal visual guidance for documents and digital spaces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